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>Витамин D3 (</w:t>
      </w:r>
      <w:r>
        <w:rPr>
          <w:rStyle w:val="Style_2_ch"/>
          <w:rFonts w:ascii="Arial" w:hAnsi="Arial"/>
          <w:sz w:val="22"/>
        </w:rPr>
        <w:t>холекальциферол) –</w:t>
      </w:r>
      <w:r>
        <w:rPr>
          <w:rStyle w:val="Style_2_ch"/>
          <w:rFonts w:ascii="Arial" w:hAnsi="Arial"/>
          <w:b w:val="0"/>
          <w:sz w:val="22"/>
        </w:rPr>
        <w:t xml:space="preserve"> это одна из форм витамина D органического происхождения, которую создает наш организм в клетках кожи под воздействием ультрафиолетового спектра солнечного света, а также в результате усвоения некоторых продуктов. 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Поэтому </w:t>
      </w:r>
      <w:r>
        <w:rPr>
          <w:rStyle w:val="Style_2_ch"/>
          <w:rFonts w:ascii="Arial" w:hAnsi="Arial"/>
          <w:b w:val="0"/>
          <w:sz w:val="22"/>
        </w:rPr>
        <w:t>наш организм старается запастись витамином D3 в солнечную погоду и расходует его по мере необходимости в пасмурные дни. Конечно, летом происходит накопление витамина D3 нашим телом, а осенью, зимой и весной мы его тратим, что и является причиной ег</w:t>
      </w:r>
      <w:r>
        <w:rPr>
          <w:rStyle w:val="Style_2_ch"/>
          <w:rFonts w:ascii="Arial" w:hAnsi="Arial"/>
          <w:b w:val="0"/>
          <w:sz w:val="22"/>
        </w:rPr>
        <w:t xml:space="preserve">о дефицита в </w:t>
      </w:r>
      <w:r>
        <w:rPr>
          <w:rStyle w:val="Style_2_ch"/>
          <w:rFonts w:ascii="Arial" w:hAnsi="Arial"/>
          <w:b w:val="0"/>
          <w:sz w:val="22"/>
        </w:rPr>
        <w:t>климатических условиях нашей страны,</w:t>
      </w:r>
      <w:r>
        <w:rPr>
          <w:rStyle w:val="Style_2_ch"/>
          <w:rFonts w:ascii="Arial" w:hAnsi="Arial"/>
          <w:b w:val="0"/>
          <w:sz w:val="22"/>
        </w:rPr>
        <w:t xml:space="preserve"> даже в средней полосе, не говоря о северных регионах. Недавние исследования, проведенные российскими учеными  ФГБУН «ФИЦ питания и биотехнологий» показывают, что с дефицитом витамина D3 встречается от </w:t>
      </w:r>
      <w:r>
        <w:rPr>
          <w:rStyle w:val="Style_2_ch"/>
          <w:rFonts w:ascii="Arial" w:hAnsi="Arial"/>
          <w:b w:val="0"/>
          <w:sz w:val="22"/>
        </w:rPr>
        <w:t>52 до 92% населения России вне зависимости от сезона года, что оказывает существенное влияние на наше с вами здоровье.</w:t>
      </w:r>
    </w:p>
    <w:p w14:paraId="0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13017</wp:posOffset>
            </wp:positionH>
            <wp:positionV relativeFrom="page">
              <wp:posOffset>3095624</wp:posOffset>
            </wp:positionV>
            <wp:extent cx="3211307" cy="2268317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3211307" cy="226831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sz w:val="22"/>
        </w:rPr>
        <w:t>Существующие в России нормы потребления витамина D3 основываются на безопасной норме для взрослых на уровне 600 МЕ(15 мкг) в сутки, для</w:t>
      </w:r>
      <w:r>
        <w:rPr>
          <w:rFonts w:ascii="Arial" w:hAnsi="Arial"/>
          <w:sz w:val="22"/>
        </w:rPr>
        <w:t xml:space="preserve"> детей 400-600 МЕ (10-15 мкг) в сутки, а для лиц пожилого возраста норма составляет 800 МЕ (20 мкг) в сутки. Вышеприведенное исследование говорит о том, что указанные нормы физиологической потребности достаточны для поддержания усвоения кальция и фосфора, </w:t>
      </w:r>
      <w:r>
        <w:rPr>
          <w:rFonts w:ascii="Arial" w:hAnsi="Arial"/>
          <w:sz w:val="22"/>
        </w:rPr>
        <w:t xml:space="preserve">что обеспечивает нормальную работу скелета и связок, но являются недостаточными для </w:t>
      </w:r>
      <w:r>
        <w:rPr>
          <w:rFonts w:ascii="Arial" w:hAnsi="Arial"/>
          <w:sz w:val="22"/>
        </w:rPr>
        <w:t>внескелетных</w:t>
      </w:r>
      <w:r>
        <w:rPr>
          <w:rFonts w:ascii="Arial" w:hAnsi="Arial"/>
          <w:sz w:val="22"/>
        </w:rPr>
        <w:t xml:space="preserve"> функций организма, таких как работа мозга, репродуктивная функция, уверенная работа иммунной системы, здоровье сосудистой системы и сердца, а также профилактик</w:t>
      </w:r>
      <w:r>
        <w:rPr>
          <w:rFonts w:ascii="Arial" w:hAnsi="Arial"/>
          <w:sz w:val="22"/>
        </w:rPr>
        <w:t>а онкологии и сезонная депрессия. В любом случае прием витамина D3 имеет важное значение для большинства населения России по причине недостатка поступления витамина D3 с пищей и длительных плохих погодных условий.</w:t>
      </w:r>
    </w:p>
    <w:p w14:paraId="05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06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Витамин D3 участвует в работе всех органо</w:t>
      </w:r>
      <w:r>
        <w:rPr>
          <w:rStyle w:val="Style_2_ch"/>
          <w:rFonts w:ascii="Arial" w:hAnsi="Arial"/>
          <w:b w:val="0"/>
          <w:sz w:val="22"/>
        </w:rPr>
        <w:t>в и выполняет ряд особых функций:</w:t>
      </w:r>
    </w:p>
    <w:p w14:paraId="07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Холекальциферол (витамин D3) обеспечивает усвоение кальция и фосфора, необходимых для поддержания здоровья опорно-двигательного аппарата как в строительстве костной ткани, так и здоровья связок. Кроме того, уровень витамин</w:t>
      </w:r>
      <w:r>
        <w:rPr>
          <w:rStyle w:val="Style_2_ch"/>
          <w:rFonts w:ascii="Arial" w:hAnsi="Arial"/>
          <w:b w:val="0"/>
        </w:rPr>
        <w:t>а D3 в крови прямо влияет на состояние зубов, ногтей, волос и кожи.</w:t>
      </w:r>
    </w:p>
    <w:p w14:paraId="08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Холекальциферол (витамин D3) поддерживает свертываемость крови, препятствует образованию тромбов, помогает усвоению углеводов и поддерживает чувствительность нервных тканей.</w:t>
      </w:r>
    </w:p>
    <w:p w14:paraId="09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</w:t>
      </w:r>
      <w:r>
        <w:rPr>
          <w:rStyle w:val="Style_2_ch"/>
          <w:rFonts w:ascii="Arial" w:hAnsi="Arial"/>
          <w:b w:val="0"/>
        </w:rPr>
        <w:t xml:space="preserve">л (витамин D3) участвует в поддержании гормонального фона репродуктивной системы у мужчин и женщин. </w:t>
      </w:r>
    </w:p>
    <w:p w14:paraId="0A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Холекальциферол (витамин D3) прямо обеспечивает регулирование врожденного и приобретенного иммунитета</w:t>
      </w:r>
    </w:p>
    <w:p w14:paraId="0B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Холекальциферол (витамин D3) участвует в регулировани</w:t>
      </w:r>
      <w:r>
        <w:rPr>
          <w:rStyle w:val="Style_2_ch"/>
          <w:rFonts w:ascii="Arial" w:hAnsi="Arial"/>
          <w:b w:val="0"/>
        </w:rPr>
        <w:t>и процессов поджелудочной железы, тонкого кишечника, почек.</w:t>
      </w:r>
    </w:p>
    <w:p w14:paraId="0C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 xml:space="preserve">Холекальциферол (витамин D3) понижает риски развития деменции, болезни Паркинсона, болезни Альцгеймера, препятствует развитию ухудшения памяти и внимания в пожилом возрасте и помогает их развитию </w:t>
      </w:r>
      <w:r>
        <w:rPr>
          <w:rStyle w:val="Style_2_ch"/>
          <w:rFonts w:ascii="Arial" w:hAnsi="Arial"/>
          <w:b w:val="0"/>
        </w:rPr>
        <w:t>в детском возрасте.</w:t>
      </w:r>
    </w:p>
    <w:p w14:paraId="0D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Холекальциферол (витамин D3) снижает риски артериальной гипертензии, образования тромбов, миокардита, инфаркта миокарда.</w:t>
      </w:r>
    </w:p>
    <w:p w14:paraId="0E000000">
      <w:pPr>
        <w:numPr>
          <w:ilvl w:val="0"/>
          <w:numId w:val="1"/>
        </w:numPr>
      </w:pPr>
      <w:r>
        <w:rPr>
          <w:rStyle w:val="Style_2_ch"/>
          <w:rFonts w:ascii="Arial" w:hAnsi="Arial"/>
          <w:b w:val="0"/>
        </w:rPr>
        <w:t>Холекальциферол (витамин D3) регулирует клеточный цикл, препятствуя развитию онкологических заболеваний.</w:t>
      </w:r>
    </w:p>
    <w:p w14:paraId="0F000000"/>
    <w:p w14:paraId="10000000">
      <w:pPr>
        <w:rPr>
          <w:rFonts w:ascii="Arial" w:hAnsi="Arial"/>
        </w:rPr>
      </w:pPr>
      <w:r>
        <w:rPr>
          <w:rFonts w:ascii="Arial" w:hAnsi="Arial"/>
        </w:rPr>
        <w:t>Достаточн</w:t>
      </w:r>
      <w:r>
        <w:rPr>
          <w:rFonts w:ascii="Arial" w:hAnsi="Arial"/>
        </w:rPr>
        <w:t>ый уровень витамина D3 особенно важен в детском возрасте, когда формируются и растут все органы, развивается внимание и память, стабилизируются неврологические и психические процессы. Поддержание уровня витамина D3 важно</w:t>
      </w:r>
      <w:r>
        <w:rPr>
          <w:rFonts w:ascii="Arial" w:hAnsi="Arial"/>
        </w:rPr>
        <w:t xml:space="preserve"> и в пожилом возрасте, когда рис</w:t>
      </w:r>
      <w:r>
        <w:rPr>
          <w:rFonts w:ascii="Arial" w:hAnsi="Arial"/>
        </w:rPr>
        <w:t>ки, связанные с дефицитом витамина D3,</w:t>
      </w:r>
      <w:r>
        <w:rPr>
          <w:rFonts w:ascii="Arial" w:hAnsi="Arial"/>
        </w:rPr>
        <w:t xml:space="preserve"> могут не только ухудшать качество жизни, но и вести к необратимым последствиям для здоровья</w:t>
      </w:r>
      <w:r>
        <w:rPr>
          <w:rFonts w:ascii="Arial" w:hAnsi="Arial"/>
        </w:rPr>
        <w:t xml:space="preserve">. Для взрослых витамин D3 важен в репродуктивной функции, поддержании гормонального фона, </w:t>
      </w:r>
      <w:r>
        <w:rPr>
          <w:rFonts w:ascii="Arial" w:hAnsi="Arial"/>
        </w:rPr>
        <w:t>психоэмоциональной</w:t>
      </w:r>
      <w:r>
        <w:rPr>
          <w:rFonts w:ascii="Arial" w:hAnsi="Arial"/>
        </w:rPr>
        <w:t xml:space="preserve"> стабильнос</w:t>
      </w:r>
      <w:r>
        <w:rPr>
          <w:rFonts w:ascii="Arial" w:hAnsi="Arial"/>
        </w:rPr>
        <w:t>ти, уровня энергии, а также для здоровья кожи, ногтей, волос, зубов.</w:t>
      </w:r>
    </w:p>
    <w:p w14:paraId="1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-15557</wp:posOffset>
            </wp:positionH>
            <wp:positionV relativeFrom="page">
              <wp:posOffset>2147568</wp:posOffset>
            </wp:positionV>
            <wp:extent cx="2045893" cy="2051498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045893" cy="2051498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Как было указано ранее, основными источникам поступления витамина D3 в наш организм являются прямой солнечный свет (не менее 15 минут в день под прямыми солнечными лучами), а также жирн</w:t>
      </w:r>
      <w:r>
        <w:rPr>
          <w:rStyle w:val="Style_2_ch"/>
          <w:rFonts w:ascii="Arial" w:hAnsi="Arial"/>
          <w:b w:val="0"/>
          <w:sz w:val="22"/>
        </w:rPr>
        <w:t xml:space="preserve">ая рыба (прежде всего печень трески, лососевые породы рыб и их икра). </w:t>
      </w:r>
    </w:p>
    <w:p w14:paraId="13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</w:p>
    <w:p w14:paraId="14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Однако, учитывая общую ситуацию с погодой и питанием в России, имеет смысл периодически проходить курсы витамина D3 всей семьей.</w:t>
      </w:r>
    </w:p>
    <w:p w14:paraId="15000000">
      <w:pPr>
        <w:pStyle w:val="Style_1"/>
        <w:spacing w:after="0"/>
        <w:ind/>
        <w:jc w:val="both"/>
        <w:rPr>
          <w:rStyle w:val="Style_2_ch"/>
          <w:rFonts w:ascii="Arial" w:hAnsi="Arial"/>
          <w:sz w:val="22"/>
        </w:rPr>
      </w:pPr>
    </w:p>
    <w:p w14:paraId="16000000">
      <w:pPr>
        <w:pStyle w:val="Style_1"/>
        <w:spacing w:after="0"/>
        <w:ind/>
        <w:rPr>
          <w:rStyle w:val="Style_2_ch"/>
          <w:rFonts w:ascii="Arial" w:hAnsi="Arial"/>
          <w:b w:val="0"/>
          <w:sz w:val="22"/>
        </w:rPr>
      </w:pPr>
    </w:p>
    <w:p w14:paraId="17000000">
      <w:pPr>
        <w:pStyle w:val="Style_1"/>
        <w:spacing w:after="0"/>
        <w:ind/>
        <w:rPr>
          <w:rStyle w:val="Style_2_ch"/>
          <w:rFonts w:ascii="Arial" w:hAnsi="Arial"/>
          <w:b w:val="0"/>
          <w:sz w:val="22"/>
        </w:rPr>
      </w:pPr>
    </w:p>
    <w:p w14:paraId="18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2" w:type="paragraph">
    <w:name w:val="Строгий1"/>
    <w:basedOn w:val="Style_4"/>
    <w:link w:val="Style_2_ch"/>
    <w:rPr>
      <w:b w:val="1"/>
    </w:rPr>
  </w:style>
  <w:style w:styleId="Style_2_ch" w:type="character">
    <w:name w:val="Строгий1"/>
    <w:basedOn w:val="Style_4_ch"/>
    <w:link w:val="Style_2"/>
    <w:rPr>
      <w:b w:val="1"/>
    </w:rPr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Обычный1"/>
    <w:link w:val="Style_12_ch"/>
  </w:style>
  <w:style w:styleId="Style_12_ch" w:type="character">
    <w:name w:val="Обычный1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4_ch" w:type="character">
    <w:name w:val="heading 5"/>
    <w:link w:val="Style_14"/>
    <w:rPr>
      <w:rFonts w:ascii="XO Thames" w:hAnsi="XO Thames"/>
      <w:b w:val="1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3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Balloon Text"/>
    <w:basedOn w:val="Style_3"/>
    <w:link w:val="Style_19_ch"/>
    <w:pPr>
      <w:spacing w:after="0" w:line="240" w:lineRule="auto"/>
      <w:ind/>
    </w:pPr>
    <w:rPr>
      <w:rFonts w:ascii="Tahoma" w:hAnsi="Tahoma"/>
      <w:sz w:val="16"/>
    </w:rPr>
  </w:style>
  <w:style w:styleId="Style_19_ch" w:type="character">
    <w:name w:val="Balloon Text"/>
    <w:basedOn w:val="Style_3_ch"/>
    <w:link w:val="Style_19"/>
    <w:rPr>
      <w:rFonts w:ascii="Tahoma" w:hAnsi="Tahoma"/>
      <w:sz w:val="16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8"/>
    </w:rPr>
  </w:style>
  <w:style w:styleId="Style_20_ch" w:type="character">
    <w:name w:val="Header and Footer"/>
    <w:link w:val="Style_20"/>
    <w:rPr>
      <w:rFonts w:ascii="XO Thames" w:hAnsi="XO Thames"/>
      <w:sz w:val="28"/>
    </w:rPr>
  </w:style>
  <w:style w:styleId="Style_21" w:type="paragraph">
    <w:name w:val="toc 9"/>
    <w:next w:val="Style_3"/>
    <w:link w:val="Style_21_ch"/>
    <w:uiPriority w:val="39"/>
    <w:pPr>
      <w:ind w:firstLine="0" w:left="1600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Гиперссылка1"/>
    <w:basedOn w:val="Style_4"/>
    <w:link w:val="Style_23_ch"/>
    <w:rPr>
      <w:color w:val="0000FF"/>
      <w:u w:val="single"/>
    </w:rPr>
  </w:style>
  <w:style w:styleId="Style_23_ch" w:type="character">
    <w:name w:val="Гиперссылка1"/>
    <w:basedOn w:val="Style_4_ch"/>
    <w:link w:val="Style_23"/>
    <w:rPr>
      <w:color w:val="0000FF"/>
      <w:u w:val="single"/>
    </w:rPr>
  </w:style>
  <w:style w:styleId="Style_24" w:type="paragraph">
    <w:name w:val="toc 5"/>
    <w:next w:val="Style_3"/>
    <w:link w:val="Style_24_ch"/>
    <w:uiPriority w:val="39"/>
    <w:pPr>
      <w:ind w:firstLine="0" w:left="800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pn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2024-08-14T11:30:10Z</dcterms:modified>
</cp:coreProperties>
</file>